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3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985"/>
        <w:gridCol w:w="495"/>
        <w:gridCol w:w="1060"/>
        <w:gridCol w:w="922"/>
        <w:gridCol w:w="1863"/>
        <w:gridCol w:w="27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8513" w:type="dxa"/>
            <w:gridSpan w:val="7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31"/>
                <w:szCs w:val="31"/>
                <w:bdr w:val="none" w:color="auto" w:sz="0" w:space="0"/>
              </w:rPr>
              <w:t>涪陵区人民医院2019年3月专业技术人员需求表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需求人数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需求专业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学历要求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具体岗位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针灸推拿、中医骨伤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疼痛科1人</w:t>
            </w:r>
          </w:p>
        </w:tc>
        <w:tc>
          <w:tcPr>
            <w:tcW w:w="27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研究生学历安家费10万元，在任期内每月发给岗位津贴500元，提供科研启动经费30000元；已完成住院医师规范化培训且具有执业医师资格证给予安家费30000元。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临床医师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临床医学、儿科学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内一科2人、内二科1人、外二科1人、妇产科1人、儿科2人</w:t>
            </w:r>
          </w:p>
        </w:tc>
        <w:tc>
          <w:tcPr>
            <w:tcW w:w="27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康复医师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康复医学、临床医学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疼痛科1人</w:t>
            </w:r>
          </w:p>
        </w:tc>
        <w:tc>
          <w:tcPr>
            <w:tcW w:w="27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五官科医师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眼耳鼻喉\临床医学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眼科2人、五官科1人</w:t>
            </w:r>
          </w:p>
        </w:tc>
        <w:tc>
          <w:tcPr>
            <w:tcW w:w="27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麻醉医师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麻醉学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麻醉科1人</w:t>
            </w:r>
          </w:p>
        </w:tc>
        <w:tc>
          <w:tcPr>
            <w:tcW w:w="271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临床医师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全日制专科及以上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急诊科2人、ICU2人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具有执业医师资格证优先考虑，高薪聘请。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影像诊断医师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医学影像诊断、临床医学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放射科1人，特检科2人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具有执业医师资格证优先考虑，超声保底8000元/月工资以上。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临床药学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临床药学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药剂科1人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5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病理岗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病理学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特检科1人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5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70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21人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758B0"/>
    <w:rsid w:val="290758B0"/>
    <w:rsid w:val="4600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2019-02-15T11:06:00Z</dcterms:created>
  <dc:creator>气场两米八</dc:creator>
  <cp:lastModifiedBy>气场两米八</cp:lastModifiedBy>
  <dcterms:modified xsi:type="dcterms:W3CDTF">2019-02-15T11:06:47Z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