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ascii="微软雅黑" w:hAnsi="微软雅黑" w:eastAsia="微软雅黑" w:cs="微软雅黑"/>
          <w:b/>
          <w:i w:val="0"/>
          <w:caps w:val="0"/>
          <w:color w:val="000000"/>
          <w:spacing w:val="8"/>
          <w:sz w:val="24"/>
          <w:szCs w:val="24"/>
          <w:bdr w:val="none" w:color="auto" w:sz="0" w:space="0"/>
          <w:shd w:val="clear" w:fill="FFFFFF"/>
        </w:rPr>
        <w:t>常德</w:t>
      </w:r>
      <w:bookmarkStart w:id="0" w:name="_GoBack"/>
      <w:bookmarkEnd w:id="0"/>
      <w:r>
        <w:rPr>
          <w:rStyle w:val="5"/>
          <w:rFonts w:ascii="微软雅黑" w:hAnsi="微软雅黑" w:eastAsia="微软雅黑" w:cs="微软雅黑"/>
          <w:b/>
          <w:i w:val="0"/>
          <w:caps w:val="0"/>
          <w:color w:val="000000"/>
          <w:spacing w:val="8"/>
          <w:sz w:val="24"/>
          <w:szCs w:val="24"/>
          <w:bdr w:val="none" w:color="auto" w:sz="0" w:space="0"/>
          <w:shd w:val="clear" w:fill="FFFFFF"/>
        </w:rPr>
        <w:t>市第四人民医院</w:t>
      </w: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000000"/>
          <w:spacing w:val="8"/>
          <w:sz w:val="24"/>
          <w:szCs w:val="24"/>
          <w:bdr w:val="none" w:color="auto" w:sz="0" w:space="0"/>
          <w:shd w:val="clear" w:fill="FFFFFF"/>
        </w:rPr>
        <w:t>人才引进岗位条件及数量表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</w:p>
    <w:tbl>
      <w:tblPr>
        <w:tblW w:w="8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683"/>
        <w:gridCol w:w="1347"/>
        <w:gridCol w:w="1543"/>
        <w:gridCol w:w="1408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1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 数量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年龄要求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69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5" w:hRule="atLeast"/>
        </w:trPr>
        <w:tc>
          <w:tcPr>
            <w:tcW w:w="17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心血管内科医生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30岁及以下（1990年1月1日及以后出生人员）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985、211学校全日制本科毕业生并已完成住院医师规范化规培的；  全日制硕士毕业（且第一学历为全日制一本）学历的优先。 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内科学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有医师资格证、规培专业为心血管内科或内科学，有介入经验者优先，适合男性。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0" w:hRule="atLeast"/>
        </w:trPr>
        <w:tc>
          <w:tcPr>
            <w:tcW w:w="174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脊柱外科医生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全日制硕士毕业（且第一学历为全日制一本）。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外科学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有医师资格证、规培专业外科学、骨科或脊柱外科，适合男性。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5C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2020-04-16T11:39:16Z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